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17C0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院内设备采购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比</w:t>
      </w:r>
      <w:r>
        <w:rPr>
          <w:rFonts w:hint="eastAsia" w:ascii="仿宋" w:hAnsi="仿宋" w:eastAsia="仿宋" w:cs="仿宋"/>
          <w:b/>
          <w:sz w:val="28"/>
          <w:szCs w:val="28"/>
        </w:rPr>
        <w:t>价表单</w:t>
      </w:r>
    </w:p>
    <w:p w14:paraId="1FE3B778">
      <w:pPr>
        <w:rPr>
          <w:rFonts w:hint="eastAsia" w:ascii="仿宋" w:hAnsi="仿宋" w:eastAsia="仿宋" w:cs="仿宋"/>
          <w:sz w:val="21"/>
          <w:szCs w:val="21"/>
        </w:rPr>
      </w:pPr>
    </w:p>
    <w:p w14:paraId="445215B1">
      <w:pPr>
        <w:spacing w:line="360" w:lineRule="auto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公司，对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上海市保健医疗中心</w:t>
      </w:r>
      <w:r>
        <w:rPr>
          <w:rFonts w:hint="eastAsia" w:ascii="仿宋" w:hAnsi="仿宋" w:eastAsia="仿宋" w:cs="仿宋"/>
          <w:sz w:val="21"/>
          <w:szCs w:val="21"/>
          <w:u w:val="single"/>
        </w:rPr>
        <w:t>“呼出气体分析仪”设备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21"/>
          <w:szCs w:val="21"/>
        </w:rPr>
        <w:t>参与竞争性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比</w:t>
      </w:r>
      <w:r>
        <w:rPr>
          <w:rFonts w:hint="eastAsia" w:ascii="仿宋" w:hAnsi="仿宋" w:eastAsia="仿宋" w:cs="仿宋"/>
          <w:sz w:val="21"/>
          <w:szCs w:val="21"/>
        </w:rPr>
        <w:t>价。</w:t>
      </w:r>
    </w:p>
    <w:p w14:paraId="167C3852">
      <w:pPr>
        <w:spacing w:line="360" w:lineRule="auto"/>
        <w:rPr>
          <w:rFonts w:hint="default" w:ascii="仿宋" w:hAnsi="仿宋" w:eastAsia="仿宋" w:cs="仿宋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项目联系人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sz w:val="21"/>
          <w:szCs w:val="21"/>
        </w:rPr>
        <w:t>，电话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公司联系地址：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</w:t>
      </w:r>
    </w:p>
    <w:p w14:paraId="6C444C6C">
      <w:pPr>
        <w:spacing w:line="360" w:lineRule="auto"/>
        <w:rPr>
          <w:rFonts w:hint="eastAsia" w:ascii="仿宋" w:hAnsi="仿宋" w:eastAsia="仿宋" w:cs="仿宋"/>
          <w:sz w:val="21"/>
          <w:szCs w:val="21"/>
          <w:u w:val="single"/>
        </w:rPr>
      </w:pPr>
    </w:p>
    <w:p w14:paraId="1A0DC4D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1"/>
          <w:szCs w:val="21"/>
          <w:u w:val="none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询价设备名称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“呼出气体分析仪”设备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合同总价最高限价人民币元：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100，000.00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 w:val="0"/>
          <w:sz w:val="21"/>
          <w:szCs w:val="21"/>
          <w:vertAlign w:val="baseline"/>
          <w:lang w:val="en-US" w:eastAsia="zh-CN"/>
        </w:rPr>
        <w:t>投标报价总价不能超过最高限价金额，否则投标将被视为无效投标。</w:t>
      </w:r>
    </w:p>
    <w:p w14:paraId="31173210">
      <w:pPr>
        <w:spacing w:line="360" w:lineRule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二、设备名称、数量、含税总价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人民币元）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44"/>
        <w:gridCol w:w="1739"/>
        <w:gridCol w:w="1688"/>
        <w:gridCol w:w="1161"/>
        <w:gridCol w:w="1310"/>
        <w:gridCol w:w="1406"/>
      </w:tblGrid>
      <w:tr w14:paraId="37FE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 w14:paraId="6DD79B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vAlign w:val="center"/>
          </w:tcPr>
          <w:p w14:paraId="4C04EC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1739" w:type="dxa"/>
            <w:vAlign w:val="center"/>
          </w:tcPr>
          <w:p w14:paraId="1FA1D07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规格、型号</w:t>
            </w:r>
          </w:p>
        </w:tc>
        <w:tc>
          <w:tcPr>
            <w:tcW w:w="1688" w:type="dxa"/>
            <w:vAlign w:val="center"/>
          </w:tcPr>
          <w:p w14:paraId="09B9C3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161" w:type="dxa"/>
            <w:vAlign w:val="center"/>
          </w:tcPr>
          <w:p w14:paraId="3324FEA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1310" w:type="dxa"/>
            <w:vAlign w:val="center"/>
          </w:tcPr>
          <w:p w14:paraId="2DD837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</w:t>
            </w:r>
          </w:p>
        </w:tc>
        <w:tc>
          <w:tcPr>
            <w:tcW w:w="1406" w:type="dxa"/>
            <w:vAlign w:val="center"/>
          </w:tcPr>
          <w:p w14:paraId="670008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总价</w:t>
            </w:r>
          </w:p>
        </w:tc>
      </w:tr>
      <w:tr w14:paraId="569A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 w14:paraId="54D04F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4" w:type="dxa"/>
            <w:vAlign w:val="center"/>
          </w:tcPr>
          <w:p w14:paraId="5FC911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呼出气体分析仪</w:t>
            </w:r>
          </w:p>
        </w:tc>
        <w:tc>
          <w:tcPr>
            <w:tcW w:w="1739" w:type="dxa"/>
            <w:vAlign w:val="center"/>
          </w:tcPr>
          <w:p w14:paraId="5659C8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46AC5E0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5E93960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5F1F97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0955BC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B7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70F88FEE">
            <w:pPr>
              <w:spacing w:line="360" w:lineRule="auto"/>
              <w:ind w:firstLine="1476" w:firstLineChars="7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9248" w:type="dxa"/>
            <w:gridSpan w:val="6"/>
          </w:tcPr>
          <w:p w14:paraId="5C3CF04E">
            <w:pPr>
              <w:spacing w:line="360" w:lineRule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含税总价（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人民币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元）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大写：                          小写：</w:t>
            </w:r>
          </w:p>
        </w:tc>
      </w:tr>
    </w:tbl>
    <w:p w14:paraId="33471785">
      <w:pPr>
        <w:spacing w:line="360" w:lineRule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备注：1、另外提供一台备用机，保证日常工作的开机率</w:t>
      </w:r>
    </w:p>
    <w:p w14:paraId="65435D4B">
      <w:pPr>
        <w:spacing w:line="360" w:lineRule="auto"/>
        <w:ind w:firstLine="420" w:firstLineChars="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2、配套使用的采气套装耗材单独报价，作为综合评分的一个打分项</w:t>
      </w:r>
    </w:p>
    <w:p w14:paraId="3A206B36">
      <w:pPr>
        <w:spacing w:line="360" w:lineRule="auto"/>
        <w:rPr>
          <w:rFonts w:hint="default" w:ascii="仿宋" w:hAnsi="仿宋" w:eastAsia="仿宋" w:cs="仿宋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三、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设备质量保障期：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  <w:lang w:val="en-US" w:eastAsia="zh-CN"/>
        </w:rPr>
        <w:t>≥3年</w:t>
      </w:r>
    </w:p>
    <w:p w14:paraId="5BF5CB8A">
      <w:pPr>
        <w:spacing w:line="360" w:lineRule="auto"/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四、设备到货时间：合同签订后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60日历日内</w:t>
      </w:r>
    </w:p>
    <w:p w14:paraId="03877C16">
      <w:pPr>
        <w:spacing w:line="360" w:lineRule="auto"/>
        <w:ind w:firstLine="420" w:firstLineChars="2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设备到货地点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上海市保健医疗中心设备机房</w:t>
      </w:r>
    </w:p>
    <w:p w14:paraId="5AD7EEC1">
      <w:pPr>
        <w:spacing w:line="360" w:lineRule="auto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1"/>
          <w:szCs w:val="21"/>
        </w:rPr>
        <w:t>五、提供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投标方</w:t>
      </w:r>
      <w:r>
        <w:rPr>
          <w:rFonts w:hint="eastAsia" w:ascii="仿宋" w:hAnsi="仿宋" w:eastAsia="仿宋" w:cs="仿宋"/>
          <w:sz w:val="21"/>
          <w:szCs w:val="21"/>
        </w:rPr>
        <w:t>相关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资质文</w:t>
      </w:r>
      <w:r>
        <w:rPr>
          <w:rFonts w:hint="eastAsia" w:ascii="仿宋" w:hAnsi="仿宋" w:eastAsia="仿宋" w:cs="仿宋"/>
          <w:sz w:val="21"/>
          <w:szCs w:val="21"/>
        </w:rPr>
        <w:t>件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及所投产品资质文件（包括但不限于医疗器械注册证）</w:t>
      </w:r>
    </w:p>
    <w:p w14:paraId="7A6788A7">
      <w:pPr>
        <w:spacing w:line="360" w:lineRule="auto"/>
        <w:rPr>
          <w:rFonts w:hint="eastAsia"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六、投标报价有效期限：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90天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</w:t>
      </w:r>
    </w:p>
    <w:p w14:paraId="61C54085">
      <w:pPr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七、付款方式：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设备到货安装调试验收，运行正常，支付合同全部货款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76E701A7">
      <w:pPr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八、技术要求：</w:t>
      </w:r>
    </w:p>
    <w:p w14:paraId="78CDD02C">
      <w:pPr>
        <w:spacing w:line="360" w:lineRule="auto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00"/>
        <w:gridCol w:w="5975"/>
        <w:gridCol w:w="1200"/>
        <w:gridCol w:w="981"/>
      </w:tblGrid>
      <w:tr w14:paraId="3D13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 w14:paraId="2CD8BC2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7B58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975" w:type="dxa"/>
            <w:shd w:val="clear" w:color="auto" w:fill="auto"/>
            <w:vAlign w:val="center"/>
          </w:tcPr>
          <w:p w14:paraId="33C07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D29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投标响应技术参数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3611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偏离情况</w:t>
            </w:r>
          </w:p>
        </w:tc>
      </w:tr>
      <w:tr w14:paraId="62D8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  <w:vAlign w:val="center"/>
          </w:tcPr>
          <w:p w14:paraId="7FCEAF8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0" w:type="dxa"/>
            <w:vMerge w:val="restart"/>
            <w:vAlign w:val="center"/>
          </w:tcPr>
          <w:p w14:paraId="33E658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呼出气体分析仪</w:t>
            </w:r>
          </w:p>
        </w:tc>
        <w:tc>
          <w:tcPr>
            <w:tcW w:w="5975" w:type="dxa"/>
          </w:tcPr>
          <w:p w14:paraId="029AAFC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适用范围：适用于检测人体呼出气中氢气（H2）的浓度</w:t>
            </w:r>
          </w:p>
        </w:tc>
        <w:tc>
          <w:tcPr>
            <w:tcW w:w="1200" w:type="dxa"/>
          </w:tcPr>
          <w:p w14:paraId="0DBA63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3969E0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F7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30054D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43A54F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2BBA9B6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.测量原理：通过气相色谱技术检测人体呼出气中的特定气体成分浓度，根据医学诊断阈值 判断是否存在匹配的阳性适应症。</w:t>
            </w:r>
          </w:p>
        </w:tc>
        <w:tc>
          <w:tcPr>
            <w:tcW w:w="1200" w:type="dxa"/>
          </w:tcPr>
          <w:p w14:paraId="5955DA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78ABB6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A8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404D9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160C00C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787469F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.检测方式：采集呼出气及环境气后分析</w:t>
            </w:r>
          </w:p>
        </w:tc>
        <w:tc>
          <w:tcPr>
            <w:tcW w:w="1200" w:type="dxa"/>
          </w:tcPr>
          <w:p w14:paraId="0F83BC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3309AE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F6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3023F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7639D5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5A3C1FE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.检测成分：呼气及环境空气中的H2 </w:t>
            </w:r>
          </w:p>
        </w:tc>
        <w:tc>
          <w:tcPr>
            <w:tcW w:w="1200" w:type="dxa"/>
          </w:tcPr>
          <w:p w14:paraId="6747AA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130218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6D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C0FD3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6D3243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036C0E6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.测量精密度：H2 ≤10%</w:t>
            </w:r>
          </w:p>
        </w:tc>
        <w:tc>
          <w:tcPr>
            <w:tcW w:w="1200" w:type="dxa"/>
          </w:tcPr>
          <w:p w14:paraId="538F6E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2F1825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6F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CC663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7A5742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49FDD0E1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.满足最新国家医药行业标准《体外诊断检验系统 性能评价方法》相关要求</w:t>
            </w:r>
          </w:p>
        </w:tc>
        <w:tc>
          <w:tcPr>
            <w:tcW w:w="1200" w:type="dxa"/>
          </w:tcPr>
          <w:p w14:paraId="68319F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736178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18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C0D87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17FAB1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17AB392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.呼气测定成分，均能精确测定环境本底并自带校准算法</w:t>
            </w:r>
          </w:p>
        </w:tc>
        <w:tc>
          <w:tcPr>
            <w:tcW w:w="1200" w:type="dxa"/>
          </w:tcPr>
          <w:p w14:paraId="3767E1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5F500AF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64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2C77B6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3929EB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60D85B8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8.多进样通道连续测定，仪器样本进样通道≥4 个</w:t>
            </w:r>
          </w:p>
        </w:tc>
        <w:tc>
          <w:tcPr>
            <w:tcW w:w="1200" w:type="dxa"/>
          </w:tcPr>
          <w:p w14:paraId="017142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54391E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04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E78E8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038D00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1C1A9A2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9.自带标气，开机及长时间工作后自动校准</w:t>
            </w:r>
          </w:p>
        </w:tc>
        <w:tc>
          <w:tcPr>
            <w:tcW w:w="1200" w:type="dxa"/>
          </w:tcPr>
          <w:p w14:paraId="547578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0558C5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7E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0A314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7F61D9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75F45F09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10.符合“罗马共识 ”氢呼气试验要求基于气相色谱+热导原理的检测技术</w:t>
            </w:r>
          </w:p>
        </w:tc>
        <w:tc>
          <w:tcPr>
            <w:tcW w:w="1200" w:type="dxa"/>
          </w:tcPr>
          <w:p w14:paraId="5164F2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31DFF4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C8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28B06B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207B3A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3D3B6BCF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11.数据查询功能：提供历史数据查询、导出、打印</w:t>
            </w:r>
          </w:p>
        </w:tc>
        <w:tc>
          <w:tcPr>
            <w:tcW w:w="1200" w:type="dxa"/>
          </w:tcPr>
          <w:p w14:paraId="42F87D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14C3A8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81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20CEB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09811C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717A9D3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12.检测时间：≤5 分钟/样</w:t>
            </w:r>
          </w:p>
        </w:tc>
        <w:tc>
          <w:tcPr>
            <w:tcW w:w="1200" w:type="dxa"/>
          </w:tcPr>
          <w:p w14:paraId="0F84EC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3068F2A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33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DC66E0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6B93F0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23E60D7B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13.供应方负责检测报告数据对接上传至我院HIS系统，费用由供应方解决</w:t>
            </w:r>
          </w:p>
        </w:tc>
        <w:tc>
          <w:tcPr>
            <w:tcW w:w="1200" w:type="dxa"/>
          </w:tcPr>
          <w:p w14:paraId="140F89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619A6F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1E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3B1D20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61F410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3E236347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14.另外提供一台同品牌同型号备用机，保证日常工作的开机率</w:t>
            </w:r>
          </w:p>
        </w:tc>
        <w:tc>
          <w:tcPr>
            <w:tcW w:w="1200" w:type="dxa"/>
          </w:tcPr>
          <w:p w14:paraId="2EC9FD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6519D5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84EB29D">
      <w:pPr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2BA15C8">
      <w:pPr>
        <w:widowControl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注：响应参数偏离情况请按实际情况填写“负偏离/符合/正偏离”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，▲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号重要参数要求必需提供证明材料，否则扣技术分，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“★”参数为实质性参数，必须满足，否则投标无效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。</w:t>
      </w:r>
    </w:p>
    <w:p w14:paraId="7C9E3BAB">
      <w:pPr>
        <w:widowControl/>
        <w:ind w:firstLine="420"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评审采用“综合评分法”，依照投标报价、技术要求响应符合度、确保项目顺利完成的保障措施、售后服务保障、公司综合实力、类似业绩等来综合评判打分。</w:t>
      </w:r>
    </w:p>
    <w:p w14:paraId="2A15579F">
      <w:pPr>
        <w:widowControl/>
        <w:ind w:firstLine="420"/>
        <w:textAlignment w:val="center"/>
        <w:rPr>
          <w:rFonts w:hint="default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各投标方在提供“确保项目顺利完成的保障措施、售后服务保障、公司综合实力、类似业绩”等方面应标时格式自拟</w:t>
      </w:r>
    </w:p>
    <w:p w14:paraId="4B6E4A0F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            </w:t>
      </w:r>
    </w:p>
    <w:p w14:paraId="107E0714">
      <w:pPr>
        <w:ind w:left="2100" w:leftChars="0" w:firstLine="420" w:firstLineChars="0"/>
        <w:rPr>
          <w:rFonts w:hint="eastAsia" w:ascii="仿宋" w:hAnsi="仿宋" w:eastAsia="仿宋" w:cs="仿宋"/>
          <w:sz w:val="21"/>
          <w:szCs w:val="21"/>
        </w:rPr>
      </w:pPr>
    </w:p>
    <w:p w14:paraId="05F62AB8">
      <w:pPr>
        <w:ind w:left="2100" w:leftChars="0" w:firstLine="420" w:firstLineChars="0"/>
        <w:rPr>
          <w:rFonts w:hint="eastAsia" w:ascii="仿宋" w:hAnsi="仿宋" w:eastAsia="仿宋" w:cs="仿宋"/>
          <w:sz w:val="21"/>
          <w:szCs w:val="21"/>
        </w:rPr>
      </w:pPr>
    </w:p>
    <w:p w14:paraId="29431886">
      <w:pPr>
        <w:ind w:left="2100" w:leftChars="0" w:firstLine="420" w:firstLineChars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签名：                      盖章</w:t>
      </w:r>
    </w:p>
    <w:p w14:paraId="11E359F9">
      <w:pPr>
        <w:rPr>
          <w:rFonts w:hint="eastAsia" w:ascii="仿宋" w:hAnsi="仿宋" w:eastAsia="仿宋" w:cs="仿宋"/>
          <w:sz w:val="21"/>
          <w:szCs w:val="21"/>
        </w:rPr>
      </w:pPr>
    </w:p>
    <w:p w14:paraId="26E781B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 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</w:p>
    <w:p w14:paraId="5EE1213E">
      <w:pPr>
        <w:ind w:firstLine="2520" w:firstLineChars="1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</w:t>
      </w:r>
    </w:p>
    <w:p w14:paraId="550A259F">
      <w:pPr>
        <w:jc w:val="both"/>
        <w:rPr>
          <w:rFonts w:hint="eastAsia" w:ascii="仿宋" w:hAnsi="仿宋" w:eastAsia="仿宋" w:cs="仿宋"/>
          <w:sz w:val="21"/>
          <w:szCs w:val="21"/>
        </w:rPr>
      </w:pPr>
    </w:p>
    <w:p w14:paraId="3804F299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4EA1D8AE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1034DF76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7B984FAE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4837C1AE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1E67CA4E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br w:type="page"/>
      </w:r>
    </w:p>
    <w:p w14:paraId="41BA7570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0ED47CB9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没有重大违法记录的声明</w:t>
      </w:r>
    </w:p>
    <w:p w14:paraId="7BEAE49C">
      <w:pPr>
        <w:spacing w:line="360" w:lineRule="auto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1EBECBF5">
      <w:pPr>
        <w:spacing w:line="360" w:lineRule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>公司参加本次采购活动前三年内，在经营活动中没有重大违法记录。</w:t>
      </w:r>
    </w:p>
    <w:p w14:paraId="6EA8CD53">
      <w:pPr>
        <w:spacing w:line="360" w:lineRule="auto"/>
        <w:ind w:firstLine="915" w:firstLineChars="436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0259D8D3">
      <w:pPr>
        <w:spacing w:line="360" w:lineRule="auto"/>
        <w:ind w:firstLine="915" w:firstLineChars="436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特此声明。</w:t>
      </w:r>
    </w:p>
    <w:p w14:paraId="140A2A64">
      <w:pPr>
        <w:spacing w:line="360" w:lineRule="auto"/>
        <w:ind w:firstLine="915" w:firstLineChars="436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435F9B6B">
      <w:pPr>
        <w:spacing w:line="360" w:lineRule="auto"/>
        <w:ind w:firstLine="915" w:firstLineChars="436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本公司对上述声明的真实性负责。如有虚假，将依法承担相应责任。</w:t>
      </w:r>
    </w:p>
    <w:p w14:paraId="45041142">
      <w:pPr>
        <w:spacing w:line="360" w:lineRule="auto"/>
        <w:ind w:firstLine="495" w:firstLineChars="236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5433A35B">
      <w:pPr>
        <w:spacing w:line="360" w:lineRule="auto"/>
        <w:ind w:firstLine="495" w:firstLineChars="236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企业名称（盖章）</w:t>
      </w: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：              </w:t>
      </w:r>
    </w:p>
    <w:p w14:paraId="2D3ABD2F">
      <w:pPr>
        <w:spacing w:line="360" w:lineRule="auto"/>
        <w:ind w:firstLine="495" w:firstLineChars="236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3749A5B2">
      <w:pPr>
        <w:spacing w:line="360" w:lineRule="auto"/>
        <w:ind w:firstLine="495" w:firstLineChars="236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日期：     </w:t>
      </w:r>
    </w:p>
    <w:p w14:paraId="41F2D042">
      <w:pPr>
        <w:spacing w:line="360" w:lineRule="auto"/>
        <w:ind w:firstLine="495" w:firstLineChars="236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br w:type="page"/>
      </w: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★投标供应商与采购人及其他供应商无利害关系声明</w:t>
      </w:r>
    </w:p>
    <w:p w14:paraId="5242D274">
      <w:pPr>
        <w:pStyle w:val="5"/>
        <w:shd w:val="clear" w:color="auto" w:fill="FFFFFF"/>
        <w:spacing w:before="0" w:beforeAutospacing="0" w:after="0" w:afterAutospacing="0" w:line="500" w:lineRule="exact"/>
        <w:ind w:firstLine="396" w:firstLineChars="200"/>
        <w:rPr>
          <w:rFonts w:hint="eastAsia" w:ascii="仿宋" w:hAnsi="仿宋" w:eastAsia="仿宋" w:cs="仿宋"/>
          <w:color w:val="000000"/>
          <w:spacing w:val="-6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6"/>
          <w:sz w:val="21"/>
          <w:szCs w:val="21"/>
        </w:rPr>
        <w:t>上海市保健医疗中心：</w:t>
      </w:r>
    </w:p>
    <w:p w14:paraId="69E5D564">
      <w:pPr>
        <w:pStyle w:val="5"/>
        <w:shd w:val="clear" w:color="auto" w:fill="FFFFFF"/>
        <w:spacing w:before="0" w:beforeAutospacing="0" w:after="0" w:afterAutospacing="0" w:line="500" w:lineRule="exact"/>
        <w:ind w:firstLine="400" w:firstLineChars="200"/>
        <w:rPr>
          <w:rFonts w:hint="eastAsia" w:ascii="仿宋" w:hAnsi="仿宋" w:eastAsia="仿宋" w:cs="仿宋"/>
          <w:color w:val="000000"/>
          <w:spacing w:val="-9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5"/>
          <w:sz w:val="21"/>
          <w:szCs w:val="21"/>
        </w:rPr>
        <w:t>我公司声明在</w:t>
      </w:r>
      <w:r>
        <w:rPr>
          <w:rFonts w:hint="eastAsia" w:ascii="仿宋" w:hAnsi="仿宋" w:eastAsia="仿宋" w:cs="仿宋"/>
          <w:b/>
          <w:bCs/>
          <w:color w:val="000000"/>
          <w:spacing w:val="-5"/>
          <w:sz w:val="21"/>
          <w:szCs w:val="21"/>
          <w:u w:val="single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pacing w:val="-5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pacing w:val="-5"/>
          <w:sz w:val="21"/>
          <w:szCs w:val="21"/>
          <w:u w:val="none"/>
        </w:rPr>
        <w:t>（项目名称）</w:t>
      </w:r>
      <w:r>
        <w:rPr>
          <w:rFonts w:hint="eastAsia" w:ascii="仿宋" w:hAnsi="仿宋" w:eastAsia="仿宋" w:cs="仿宋"/>
          <w:color w:val="000000"/>
          <w:spacing w:val="-9"/>
          <w:sz w:val="21"/>
          <w:szCs w:val="21"/>
        </w:rPr>
        <w:t>采购活动中，与招标人员</w:t>
      </w:r>
      <w:r>
        <w:rPr>
          <w:rFonts w:hint="eastAsia" w:ascii="仿宋" w:hAnsi="仿宋" w:eastAsia="仿宋" w:cs="仿宋"/>
          <w:color w:val="000000"/>
          <w:spacing w:val="-8"/>
          <w:sz w:val="21"/>
          <w:szCs w:val="21"/>
        </w:rPr>
        <w:t>及直接相关人员无利害关系，满足《中华人民共和国招标投标法实施条例》</w:t>
      </w:r>
      <w:r>
        <w:rPr>
          <w:rFonts w:hint="eastAsia" w:ascii="仿宋" w:hAnsi="仿宋" w:eastAsia="仿宋" w:cs="仿宋"/>
          <w:b/>
          <w:bCs/>
          <w:color w:val="000000"/>
          <w:spacing w:val="3"/>
          <w:sz w:val="21"/>
          <w:szCs w:val="21"/>
        </w:rPr>
        <w:t>第三十四条规定：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“（1</w:t>
      </w:r>
      <w:r>
        <w:rPr>
          <w:rFonts w:hint="eastAsia" w:ascii="仿宋" w:hAnsi="仿宋" w:eastAsia="仿宋" w:cs="仿宋"/>
          <w:b/>
          <w:bCs/>
          <w:color w:val="000000"/>
          <w:spacing w:val="3"/>
          <w:sz w:val="21"/>
          <w:szCs w:val="21"/>
        </w:rPr>
        <w:t>）与招标人存在利害关系可能影响招标公正性的法人、其他组</w:t>
      </w:r>
      <w:r>
        <w:rPr>
          <w:rFonts w:hint="eastAsia" w:ascii="仿宋" w:hAnsi="仿宋" w:eastAsia="仿宋" w:cs="仿宋"/>
          <w:b/>
          <w:bCs/>
          <w:color w:val="000000"/>
          <w:spacing w:val="4"/>
          <w:sz w:val="21"/>
          <w:szCs w:val="21"/>
        </w:rPr>
        <w:t>织或者个人，不得参加投标。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（2</w:t>
      </w:r>
      <w:r>
        <w:rPr>
          <w:rFonts w:hint="eastAsia" w:ascii="仿宋" w:hAnsi="仿宋" w:eastAsia="仿宋" w:cs="仿宋"/>
          <w:b/>
          <w:bCs/>
          <w:color w:val="000000"/>
          <w:spacing w:val="4"/>
          <w:sz w:val="21"/>
          <w:szCs w:val="21"/>
        </w:rPr>
        <w:t>）单位负责人为同一人或者存在</w:t>
      </w:r>
      <w:r>
        <w:rPr>
          <w:rFonts w:hint="eastAsia" w:ascii="仿宋" w:hAnsi="仿宋" w:eastAsia="仿宋" w:cs="仿宋"/>
          <w:b/>
          <w:bCs/>
          <w:color w:val="000000"/>
          <w:spacing w:val="3"/>
          <w:sz w:val="21"/>
          <w:szCs w:val="21"/>
        </w:rPr>
        <w:t>控股、管理关系的不同单位，不得参加同一标段投标或者未划分标</w:t>
      </w:r>
      <w:r>
        <w:rPr>
          <w:rFonts w:hint="eastAsia" w:ascii="仿宋" w:hAnsi="仿宋" w:eastAsia="仿宋" w:cs="仿宋"/>
          <w:b/>
          <w:bCs/>
          <w:color w:val="000000"/>
          <w:spacing w:val="2"/>
          <w:sz w:val="21"/>
          <w:szCs w:val="21"/>
        </w:rPr>
        <w:t>段的同一招标项目投标。</w:t>
      </w:r>
      <w:r>
        <w:rPr>
          <w:rFonts w:hint="eastAsia" w:ascii="仿宋" w:hAnsi="仿宋" w:eastAsia="仿宋" w:cs="仿宋"/>
          <w:b/>
          <w:bCs/>
          <w:color w:val="000000"/>
          <w:spacing w:val="3"/>
          <w:sz w:val="21"/>
          <w:szCs w:val="21"/>
        </w:rPr>
        <w:t>违反前两款规定的，相关投标均无效。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”</w:t>
      </w:r>
    </w:p>
    <w:p w14:paraId="43D3FDD7">
      <w:pPr>
        <w:pStyle w:val="5"/>
        <w:shd w:val="clear" w:color="auto" w:fill="FFFFFF"/>
        <w:spacing w:before="0" w:beforeAutospacing="0" w:after="0" w:afterAutospacing="0" w:line="500" w:lineRule="exact"/>
        <w:ind w:firstLine="396" w:firstLineChars="200"/>
        <w:rPr>
          <w:rFonts w:hint="eastAsia" w:ascii="仿宋" w:hAnsi="仿宋" w:eastAsia="仿宋" w:cs="仿宋"/>
          <w:color w:val="000000"/>
          <w:spacing w:val="-6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6"/>
          <w:sz w:val="21"/>
          <w:szCs w:val="21"/>
        </w:rPr>
        <w:t>特此声明！</w:t>
      </w:r>
    </w:p>
    <w:p w14:paraId="7D102BF5">
      <w:pPr>
        <w:pStyle w:val="5"/>
        <w:shd w:val="clear" w:color="auto" w:fill="FFFFFF"/>
        <w:spacing w:before="0" w:beforeAutospacing="0" w:after="0" w:afterAutospacing="0" w:line="500" w:lineRule="exact"/>
        <w:ind w:firstLine="384" w:firstLineChars="200"/>
        <w:rPr>
          <w:rFonts w:hint="eastAsia" w:ascii="仿宋" w:hAnsi="仿宋" w:eastAsia="仿宋" w:cs="仿宋"/>
          <w:color w:val="000000"/>
          <w:spacing w:val="-9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9"/>
          <w:sz w:val="21"/>
          <w:szCs w:val="21"/>
        </w:rPr>
        <w:t>如果以上声明不真实，我方承担虚假投标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（响应）</w:t>
      </w:r>
      <w:r>
        <w:rPr>
          <w:rFonts w:hint="eastAsia" w:ascii="仿宋" w:hAnsi="仿宋" w:eastAsia="仿宋" w:cs="仿宋"/>
          <w:color w:val="000000"/>
          <w:spacing w:val="-10"/>
          <w:sz w:val="21"/>
          <w:szCs w:val="21"/>
        </w:rPr>
        <w:t>的责任，中标</w:t>
      </w:r>
      <w:r>
        <w:rPr>
          <w:rFonts w:hint="eastAsia" w:ascii="仿宋" w:hAnsi="仿宋" w:eastAsia="仿宋" w:cs="仿宋"/>
          <w:color w:val="000000"/>
          <w:spacing w:val="-9"/>
          <w:sz w:val="21"/>
          <w:szCs w:val="21"/>
        </w:rPr>
        <w:t>（成交）无效，并按法律、法规的规定接受处罚。</w:t>
      </w:r>
    </w:p>
    <w:p w14:paraId="77C7B474">
      <w:pPr>
        <w:pStyle w:val="5"/>
        <w:shd w:val="clear" w:color="auto" w:fill="FFFFFF"/>
        <w:spacing w:before="0" w:beforeAutospacing="0" w:after="0" w:afterAutospacing="0" w:line="500" w:lineRule="exact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9D19AF3">
      <w:pPr>
        <w:pStyle w:val="5"/>
        <w:shd w:val="clear" w:color="auto" w:fill="FFFFFF"/>
        <w:spacing w:before="0" w:beforeAutospacing="0" w:after="0" w:afterAutospacing="0" w:line="500" w:lineRule="exact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218E57A5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179705</wp:posOffset>
                </wp:positionV>
                <wp:extent cx="190817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75pt;margin-top:14.15pt;height:0pt;width:150.25pt;z-index:251659264;mso-width-relative:page;mso-height-relative:page;" filled="f" stroked="t" coordsize="21600,21600" o:allowincell="f" o:gfxdata="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f7nR3XAAAACQEAAA8AAAAAAAAAAQAgAAAAIgAAAGRycy9kb3ducmV2LnhtbFBLAQIU&#10;ABQAAAAIAIdO4kC7xNLb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w:t>投标人授权代表签字或盖</w:t>
      </w:r>
      <w:r>
        <w:rPr>
          <w:rFonts w:hint="eastAsia" w:ascii="仿宋" w:hAnsi="仿宋" w:eastAsia="仿宋" w:cs="仿宋"/>
          <w:sz w:val="21"/>
          <w:szCs w:val="21"/>
          <w:u w:val="none"/>
        </w:rPr>
        <w:t>章：</w:t>
      </w:r>
    </w:p>
    <w:p w14:paraId="3B504DF2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</w:p>
    <w:p w14:paraId="31AABEE7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179705</wp:posOffset>
                </wp:positionV>
                <wp:extent cx="230759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85pt;margin-top:14.15pt;height:0pt;width:181.7pt;z-index:251660288;mso-width-relative:page;mso-height-relative:page;" filled="f" stroked="t" coordsize="21600,21600" o:allowincell="f" o:gfxdata="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+JDutYAAAAJAQAADwAAAAAAAAABACAAAAAiAAAAZHJzL2Rvd25yZXYueG1sUEsBAhQA&#10;FAAAAAgAh07iQEkcYA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w:t>投标人（公章）：</w:t>
      </w:r>
    </w:p>
    <w:p w14:paraId="7D72BD29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</w:p>
    <w:p w14:paraId="0F795AE4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      年      月</w:t>
      </w:r>
    </w:p>
    <w:p w14:paraId="4D12CE30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043" w:right="1123" w:bottom="104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113C0"/>
    <w:multiLevelType w:val="singleLevel"/>
    <w:tmpl w:val="F15113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2811"/>
    <w:rsid w:val="04D7187F"/>
    <w:rsid w:val="0B3573AB"/>
    <w:rsid w:val="0F756846"/>
    <w:rsid w:val="1105496C"/>
    <w:rsid w:val="11447845"/>
    <w:rsid w:val="16A3500D"/>
    <w:rsid w:val="16C3159D"/>
    <w:rsid w:val="1CB473D8"/>
    <w:rsid w:val="220738EE"/>
    <w:rsid w:val="23552811"/>
    <w:rsid w:val="23CD5478"/>
    <w:rsid w:val="2D446055"/>
    <w:rsid w:val="2DAF3E40"/>
    <w:rsid w:val="2FFF5E8B"/>
    <w:rsid w:val="31815AF3"/>
    <w:rsid w:val="35B2271F"/>
    <w:rsid w:val="4AA2191B"/>
    <w:rsid w:val="504D3319"/>
    <w:rsid w:val="54A379AB"/>
    <w:rsid w:val="598F38F1"/>
    <w:rsid w:val="5AC24903"/>
    <w:rsid w:val="5CCB3F43"/>
    <w:rsid w:val="64247321"/>
    <w:rsid w:val="66670A10"/>
    <w:rsid w:val="6BB42C72"/>
    <w:rsid w:val="6E041063"/>
    <w:rsid w:val="74691795"/>
    <w:rsid w:val="7A1A7924"/>
    <w:rsid w:val="7A93266A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1353</Words>
  <Characters>1388</Characters>
  <Lines>0</Lines>
  <Paragraphs>0</Paragraphs>
  <TotalTime>6</TotalTime>
  <ScaleCrop>false</ScaleCrop>
  <LinksUpToDate>false</LinksUpToDate>
  <CharactersWithSpaces>1672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2025-03-25T01:32:00Z</dcterms:created>
  <dc:creator>ltp(044)</dc:creator>
  <cp:lastModifiedBy>kbl-97</cp:lastModifiedBy>
  <dcterms:modified xsi:type="dcterms:W3CDTF">2025-12-23T00:19:43Z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D5741DE137AF4DB99FE0612624B76D67_13</vt:lpwstr>
  </property>
  <property fmtid="{D5CDD505-2E9C-101B-9397-08002B2CF9AE}" pid="4" name="KSOTemplateDocerSaveRecord">
    <vt:lpwstr>eyJoZGlkIjoiNGQxYWU5ODk4ZTI1ZTViYTEyM2M4NTQwNDhkODZhNmIiLCJ1c2VySWQiOiIxMzQ1MzY2MDg1In0=</vt:lpwstr>
  </property>
</Properties>
</file>